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DD49" w14:textId="77777777" w:rsidR="007C631A" w:rsidRDefault="007C631A" w:rsidP="004E2F8F">
      <w:pPr>
        <w:rPr>
          <w:rFonts w:ascii="Fira Sans Medium" w:hAnsi="Fira Sans Medium" w:hint="eastAsia"/>
          <w:sz w:val="20"/>
          <w:szCs w:val="20"/>
        </w:rPr>
      </w:pP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4916"/>
        <w:gridCol w:w="4390"/>
      </w:tblGrid>
      <w:tr w:rsidR="004E2F8F" w14:paraId="19742C1C" w14:textId="77777777" w:rsidTr="0027381C">
        <w:tc>
          <w:tcPr>
            <w:tcW w:w="9306" w:type="dxa"/>
            <w:gridSpan w:val="2"/>
            <w:shd w:val="clear" w:color="auto" w:fill="D9D9D9" w:themeFill="background1" w:themeFillShade="D9"/>
          </w:tcPr>
          <w:p w14:paraId="16782019" w14:textId="77777777" w:rsidR="004E2F8F" w:rsidRPr="00B40025" w:rsidRDefault="004E2F8F" w:rsidP="0027381C">
            <w:pPr>
              <w:spacing w:line="312" w:lineRule="auto"/>
              <w:outlineLvl w:val="0"/>
              <w:rPr>
                <w:b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>Gefahrstoffe</w:t>
            </w:r>
            <w:r w:rsidR="00652396">
              <w:rPr>
                <w:rFonts w:ascii="Fira Sans Medium" w:hAnsi="Fira Sans Medium"/>
                <w:b/>
                <w:sz w:val="26"/>
                <w:szCs w:val="26"/>
              </w:rPr>
              <w:t xml:space="preserve"> </w:t>
            </w:r>
            <w:r w:rsidR="00652396">
              <w:rPr>
                <w:b/>
              </w:rPr>
              <w:t>– Vorschlag, nicht abschließend</w:t>
            </w:r>
          </w:p>
        </w:tc>
      </w:tr>
      <w:tr w:rsidR="004E2F8F" w14:paraId="712DDF45" w14:textId="77777777" w:rsidTr="0027381C">
        <w:tc>
          <w:tcPr>
            <w:tcW w:w="4916" w:type="dxa"/>
          </w:tcPr>
          <w:p w14:paraId="18CCFD86" w14:textId="77777777"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14:paraId="0B26BEDF" w14:textId="77777777"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14:paraId="68752589" w14:textId="77777777" w:rsidR="004E2F8F" w:rsidRPr="00B40025" w:rsidRDefault="004E2F8F" w:rsidP="0027381C">
            <w:pPr>
              <w:rPr>
                <w:b/>
              </w:rPr>
            </w:pPr>
          </w:p>
        </w:tc>
      </w:tr>
      <w:tr w:rsidR="004E2F8F" w14:paraId="066E9B50" w14:textId="77777777" w:rsidTr="0027381C">
        <w:tc>
          <w:tcPr>
            <w:tcW w:w="4916" w:type="dxa"/>
          </w:tcPr>
          <w:p w14:paraId="07DB467E" w14:textId="77777777"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14:paraId="022BFCF6" w14:textId="77777777"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14:paraId="6C940AC8" w14:textId="77777777" w:rsidR="004E2F8F" w:rsidRPr="00B40025" w:rsidRDefault="004E2F8F" w:rsidP="0027381C">
            <w:pPr>
              <w:rPr>
                <w:b/>
              </w:rPr>
            </w:pPr>
          </w:p>
        </w:tc>
      </w:tr>
      <w:tr w:rsidR="004E2F8F" w14:paraId="66B87AD8" w14:textId="77777777" w:rsidTr="0027381C">
        <w:tc>
          <w:tcPr>
            <w:tcW w:w="4916" w:type="dxa"/>
          </w:tcPr>
          <w:p w14:paraId="5C4911D2" w14:textId="77777777"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14:paraId="7A3D833F" w14:textId="77777777"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14:paraId="24E0FF8D" w14:textId="77777777" w:rsidR="004E2F8F" w:rsidRPr="00B40025" w:rsidRDefault="004E2F8F" w:rsidP="0027381C">
            <w:pPr>
              <w:rPr>
                <w:b/>
              </w:rPr>
            </w:pPr>
          </w:p>
        </w:tc>
      </w:tr>
    </w:tbl>
    <w:p w14:paraId="4E4D9A44" w14:textId="77777777" w:rsidR="004E2F8F" w:rsidRPr="004E2F8F" w:rsidRDefault="004E2F8F" w:rsidP="004E2F8F">
      <w:pPr>
        <w:spacing w:line="288" w:lineRule="auto"/>
        <w:ind w:left="357"/>
        <w:outlineLvl w:val="0"/>
        <w:rPr>
          <w:rFonts w:ascii="Fira Sans Medium" w:hAnsi="Fira Sans Medium" w:hint="eastAsia"/>
          <w:sz w:val="26"/>
          <w:szCs w:val="26"/>
        </w:rPr>
      </w:pPr>
    </w:p>
    <w:tbl>
      <w:tblPr>
        <w:tblStyle w:val="Tabellenraster"/>
        <w:tblpPr w:leftFromText="141" w:rightFromText="141" w:vertAnchor="text" w:horzAnchor="margin" w:tblpY="7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4E2F8F" w14:paraId="0C59929E" w14:textId="77777777" w:rsidTr="004E2F8F">
        <w:tc>
          <w:tcPr>
            <w:tcW w:w="9322" w:type="dxa"/>
            <w:shd w:val="clear" w:color="auto" w:fill="D9D9D9" w:themeFill="background1" w:themeFillShade="D9"/>
          </w:tcPr>
          <w:p w14:paraId="12240ED4" w14:textId="77777777" w:rsidR="004E2F8F" w:rsidRDefault="004E2F8F" w:rsidP="004E2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ira Sans Medium" w:hAnsi="Fira Sans Medium" w:hint="eastAsia"/>
                <w:sz w:val="20"/>
                <w:szCs w:val="20"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>G</w:t>
            </w:r>
            <w:r w:rsidRPr="007C631A">
              <w:rPr>
                <w:rFonts w:ascii="Fira Sans Medium" w:hAnsi="Fira Sans Medium"/>
                <w:b/>
                <w:sz w:val="26"/>
                <w:szCs w:val="26"/>
              </w:rPr>
              <w:t>efahrstoffe sicher im Griff</w:t>
            </w:r>
          </w:p>
        </w:tc>
      </w:tr>
    </w:tbl>
    <w:p w14:paraId="635A6255" w14:textId="77777777" w:rsidR="004E2F8F" w:rsidRPr="004E2F8F" w:rsidRDefault="004E2F8F" w:rsidP="004E2F8F">
      <w:pPr>
        <w:spacing w:line="288" w:lineRule="auto"/>
        <w:ind w:left="357"/>
        <w:outlineLvl w:val="0"/>
        <w:rPr>
          <w:rFonts w:ascii="Fira Sans Medium" w:hAnsi="Fira Sans Medium" w:hint="eastAsia"/>
          <w:sz w:val="26"/>
          <w:szCs w:val="26"/>
        </w:rPr>
      </w:pPr>
    </w:p>
    <w:p w14:paraId="1D7B33CB" w14:textId="77777777" w:rsidR="00551952" w:rsidRPr="0024768B" w:rsidRDefault="00627F5E" w:rsidP="004E2F8F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Kritische Stoffgruppen, die in Arztpraxen Verwendung finden können:</w:t>
      </w:r>
    </w:p>
    <w:p w14:paraId="1A7EAF37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Arzneimittel, eventuell Zytostatika und Virustatika</w:t>
      </w:r>
      <w:bookmarkStart w:id="0" w:name="_GoBack"/>
      <w:bookmarkEnd w:id="0"/>
    </w:p>
    <w:p w14:paraId="09149ADD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Laborchemikalien</w:t>
      </w:r>
    </w:p>
    <w:p w14:paraId="7685C781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Reinigungsmittel</w:t>
      </w:r>
    </w:p>
    <w:p w14:paraId="05439B0D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Desinfektionsmittel</w:t>
      </w:r>
    </w:p>
    <w:p w14:paraId="0D9FE684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Gase in Sterilisatoren</w:t>
      </w:r>
    </w:p>
    <w:p w14:paraId="4A5B108C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Narkosegase in der Anästhesie</w:t>
      </w:r>
    </w:p>
    <w:p w14:paraId="2296A659" w14:textId="77777777" w:rsidR="00627F5E" w:rsidRPr="0024768B" w:rsidRDefault="00627F5E" w:rsidP="00627F5E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 xml:space="preserve">Unterweisungen nach Gefahrstoffverzeichnis bzw. Sicherheits- und Produktdatenblätter der Hersteller </w:t>
      </w:r>
      <w:r w:rsidRPr="0024768B">
        <w:rPr>
          <w:rFonts w:ascii="Fira Sans Medium" w:hAnsi="Fira Sans Medium"/>
        </w:rPr>
        <w:sym w:font="Wingdings" w:char="F0E0"/>
      </w:r>
      <w:r w:rsidRPr="0024768B">
        <w:rPr>
          <w:rFonts w:ascii="Fira Sans Medium" w:hAnsi="Fira Sans Medium"/>
        </w:rPr>
        <w:t xml:space="preserve"> die Unterweisungen, die durchgeführt werden müssen, ergeben sich aus der Gefährdungsbeurteilung.</w:t>
      </w:r>
    </w:p>
    <w:p w14:paraId="087875DC" w14:textId="77777777" w:rsidR="00627F5E" w:rsidRPr="0024768B" w:rsidRDefault="00627F5E" w:rsidP="00551952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Kriterien für eine geringe Gefährdung:</w:t>
      </w:r>
    </w:p>
    <w:p w14:paraId="104E1E04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 xml:space="preserve">Stoffe oder Gemische </w:t>
      </w:r>
      <w:r w:rsidR="00DC0120" w:rsidRPr="0024768B">
        <w:rPr>
          <w:rFonts w:ascii="Fira Sans Medium" w:hAnsi="Fira Sans Medium"/>
        </w:rPr>
        <w:t xml:space="preserve">ausschließlich </w:t>
      </w:r>
      <w:r w:rsidR="000F660E" w:rsidRPr="0024768B">
        <w:rPr>
          <w:rFonts w:ascii="Fira Sans Medium" w:hAnsi="Fira Sans Medium"/>
        </w:rPr>
        <w:t>mit der</w:t>
      </w:r>
      <w:r w:rsidRPr="0024768B">
        <w:rPr>
          <w:rFonts w:ascii="Fira Sans Medium" w:hAnsi="Fira Sans Medium"/>
        </w:rPr>
        <w:t xml:space="preserve"> Eigenscha</w:t>
      </w:r>
      <w:r w:rsidR="000F660E" w:rsidRPr="0024768B">
        <w:rPr>
          <w:rFonts w:ascii="Fira Sans Medium" w:hAnsi="Fira Sans Medium"/>
        </w:rPr>
        <w:t>ft</w:t>
      </w:r>
      <w:r w:rsidRPr="0024768B">
        <w:rPr>
          <w:rFonts w:ascii="Fira Sans Medium" w:hAnsi="Fira Sans Medium"/>
        </w:rPr>
        <w:t xml:space="preserve"> „reizend“.</w:t>
      </w:r>
    </w:p>
    <w:p w14:paraId="1FE22F8F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Es werden nur geringe Mengen (Milliliter</w:t>
      </w:r>
      <w:r w:rsidRPr="0024768B">
        <w:rPr>
          <w:rFonts w:ascii="Fira Sans Medium" w:hAnsi="Fira Sans Medium"/>
        </w:rPr>
        <w:softHyphen/>
        <w:t xml:space="preserve"> oder Grammbereich) verwendet.</w:t>
      </w:r>
    </w:p>
    <w:p w14:paraId="43474BF4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Die Tätigkeit ist von kurzer Dauer, zum Beispiel 10 bis 15 Minuten pro Tag.</w:t>
      </w:r>
    </w:p>
    <w:p w14:paraId="2139A2AA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Es besteht kaum Hautkontakt, und die Möglichkeit einer Aufnahme über die Atemwege ist minimal.</w:t>
      </w:r>
    </w:p>
    <w:p w14:paraId="3B221120" w14:textId="77777777" w:rsidR="00627F5E" w:rsidRPr="0024768B" w:rsidRDefault="00627F5E" w:rsidP="00627F5E">
      <w:pPr>
        <w:pStyle w:val="Listenabsatz"/>
        <w:numPr>
          <w:ilvl w:val="1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Die allgemeinen Schutzmaßnahmen sind ausreichend.</w:t>
      </w:r>
    </w:p>
    <w:p w14:paraId="24F7C966" w14:textId="1EC21BD3" w:rsidR="00627F5E" w:rsidRPr="0024768B" w:rsidRDefault="00627F5E" w:rsidP="00627F5E">
      <w:pPr>
        <w:pStyle w:val="Listenabsatz"/>
        <w:numPr>
          <w:ilvl w:val="0"/>
          <w:numId w:val="11"/>
        </w:numPr>
        <w:spacing w:line="288" w:lineRule="auto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>Checkliste zu Grundsätzen bei Tätigkeiten mit Gefahrstoffen finden Sie in der TRGS 500 Anlage 1</w:t>
      </w:r>
      <w:r w:rsidR="005D5A37">
        <w:rPr>
          <w:rFonts w:ascii="Fira Sans Medium" w:hAnsi="Fira Sans Medium"/>
        </w:rPr>
        <w:t>(</w:t>
      </w:r>
      <w:hyperlink r:id="rId9" w:history="1">
        <w:r w:rsidRPr="0024768B">
          <w:rPr>
            <w:rStyle w:val="Hyperlink"/>
            <w:rFonts w:ascii="Fira Sans Medium" w:hAnsi="Fira Sans Medium"/>
          </w:rPr>
          <w:t>https://www.baua.de/DE/Angebote/Rechtstexte-und-Technische-Regeln/Regelwerk/TRGS/pdf/TRGS-500.pdf?__blob=publicationFile</w:t>
        </w:r>
      </w:hyperlink>
      <w:r w:rsidR="005D5A37">
        <w:rPr>
          <w:rStyle w:val="Hyperlink"/>
          <w:rFonts w:ascii="Fira Sans Medium" w:hAnsi="Fira Sans Medium"/>
        </w:rPr>
        <w:t>)</w:t>
      </w:r>
      <w:r w:rsidRPr="0024768B">
        <w:rPr>
          <w:rFonts w:ascii="Fira Sans Medium" w:hAnsi="Fira Sans Medium"/>
        </w:rPr>
        <w:t xml:space="preserve">. </w:t>
      </w:r>
    </w:p>
    <w:p w14:paraId="224E5072" w14:textId="31679B34" w:rsidR="0024768B" w:rsidRPr="0024768B" w:rsidRDefault="0024768B" w:rsidP="0024768B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</w:rPr>
      </w:pPr>
      <w:r w:rsidRPr="0024768B">
        <w:rPr>
          <w:rFonts w:ascii="Fira Sans Medium" w:hAnsi="Fira Sans Medium"/>
        </w:rPr>
        <w:t xml:space="preserve">Die Beschäftigung einer werdenden oder stillenden Mutter in Bereichen, in denen mit dem Auftreten </w:t>
      </w:r>
      <w:r w:rsidR="005D5A37">
        <w:rPr>
          <w:rFonts w:ascii="Fira Sans Medium" w:hAnsi="Fira Sans Medium"/>
        </w:rPr>
        <w:t>von Narkoseg</w:t>
      </w:r>
      <w:r w:rsidRPr="0024768B">
        <w:rPr>
          <w:rFonts w:ascii="Fira Sans Medium" w:hAnsi="Fira Sans Medium"/>
        </w:rPr>
        <w:t>ase</w:t>
      </w:r>
      <w:r w:rsidR="005D5A37">
        <w:rPr>
          <w:rFonts w:ascii="Fira Sans Medium" w:hAnsi="Fira Sans Medium"/>
        </w:rPr>
        <w:t>n</w:t>
      </w:r>
      <w:r w:rsidRPr="0024768B">
        <w:rPr>
          <w:rFonts w:ascii="Fira Sans Medium" w:hAnsi="Fira Sans Medium"/>
        </w:rPr>
        <w:t xml:space="preserve"> gerechnet werden muss, ist nur dann zulässig, wenn der Luf</w:t>
      </w:r>
      <w:r w:rsidRPr="0024768B">
        <w:rPr>
          <w:rFonts w:ascii="Fira Sans Medium" w:hAnsi="Fira Sans Medium"/>
        </w:rPr>
        <w:t>t</w:t>
      </w:r>
      <w:r w:rsidRPr="0024768B">
        <w:rPr>
          <w:rFonts w:ascii="Fira Sans Medium" w:hAnsi="Fira Sans Medium"/>
        </w:rPr>
        <w:t>grenzwert für diese Gefahrstoffe sicher und dauerhaft unterschritten wird</w:t>
      </w:r>
      <w:r w:rsidR="005D5A37">
        <w:rPr>
          <w:rFonts w:ascii="Fira Sans Medium" w:hAnsi="Fira Sans Medium"/>
        </w:rPr>
        <w:t>*</w:t>
      </w:r>
      <w:r w:rsidRPr="0024768B">
        <w:rPr>
          <w:rFonts w:ascii="Fira Sans Medium" w:hAnsi="Fira Sans Medium"/>
        </w:rPr>
        <w:t>.</w:t>
      </w:r>
    </w:p>
    <w:p w14:paraId="0D4B9A8A" w14:textId="77777777" w:rsidR="00551952" w:rsidRDefault="00551952" w:rsidP="00551952">
      <w:pPr>
        <w:rPr>
          <w:rFonts w:ascii="Fira Sans Medium" w:hAnsi="Fira Sans Medium" w:hint="eastAsia"/>
          <w:sz w:val="20"/>
          <w:szCs w:val="20"/>
        </w:rPr>
      </w:pPr>
    </w:p>
    <w:p w14:paraId="28746764" w14:textId="77777777" w:rsidR="007C631A" w:rsidRPr="005D5A37" w:rsidRDefault="007C631A" w:rsidP="005D5A37">
      <w:pPr>
        <w:spacing w:after="60"/>
        <w:rPr>
          <w:rFonts w:ascii="Fira Sans Medium" w:hAnsi="Fira Sans Medium" w:hint="eastAsia"/>
          <w:sz w:val="20"/>
          <w:szCs w:val="20"/>
        </w:rPr>
      </w:pPr>
      <w:r w:rsidRPr="005D5A37">
        <w:rPr>
          <w:rFonts w:ascii="Fira Sans Medium" w:hAnsi="Fira Sans Medium"/>
          <w:sz w:val="20"/>
          <w:szCs w:val="20"/>
        </w:rPr>
        <w:t xml:space="preserve">Quelle: BGW kompakt. Angebote – Informationen – Leistungen: </w:t>
      </w:r>
      <w:hyperlink r:id="rId10" w:history="1">
        <w:r w:rsidRPr="005D5A37">
          <w:rPr>
            <w:rStyle w:val="Hyperlink"/>
            <w:rFonts w:ascii="Fira Sans Medium" w:hAnsi="Fira Sans Medium"/>
            <w:sz w:val="20"/>
            <w:szCs w:val="20"/>
          </w:rPr>
          <w:t>https://www.bgw-online.de/SharedDocs/Downloads/DE/Medientypen/BGW%20Grundlagen/BGW03-03-010_Humanmedizin-bf_Download.pdf?__blob=publicationFile</w:t>
        </w:r>
      </w:hyperlink>
      <w:r w:rsidRPr="005D5A37">
        <w:rPr>
          <w:rFonts w:ascii="Fira Sans Medium" w:hAnsi="Fira Sans Medium"/>
          <w:sz w:val="20"/>
          <w:szCs w:val="20"/>
        </w:rPr>
        <w:t xml:space="preserve"> (28.06.2019).</w:t>
      </w:r>
    </w:p>
    <w:p w14:paraId="20E5917F" w14:textId="687591AE" w:rsidR="00FF20FA" w:rsidRPr="005D5A37" w:rsidRDefault="00FF20FA" w:rsidP="005D5A37">
      <w:pPr>
        <w:spacing w:after="60"/>
        <w:rPr>
          <w:rFonts w:ascii="Fira Sans Medium" w:hAnsi="Fira Sans Medium" w:hint="eastAsia"/>
          <w:sz w:val="20"/>
          <w:szCs w:val="20"/>
        </w:rPr>
      </w:pPr>
      <w:r w:rsidRPr="005D5A37">
        <w:rPr>
          <w:rFonts w:ascii="Fira Sans Medium" w:hAnsi="Fira Sans Medium"/>
          <w:sz w:val="20"/>
          <w:szCs w:val="20"/>
        </w:rPr>
        <w:t>Quelle:</w:t>
      </w:r>
      <w:r w:rsidR="000301EE" w:rsidRPr="005D5A37">
        <w:rPr>
          <w:rFonts w:ascii="Fira Sans Medium" w:hAnsi="Fira Sans Medium"/>
          <w:sz w:val="20"/>
          <w:szCs w:val="20"/>
        </w:rPr>
        <w:t xml:space="preserve"> </w:t>
      </w:r>
      <w:r w:rsidRPr="005D5A37">
        <w:rPr>
          <w:rFonts w:ascii="Fira Sans Medium" w:hAnsi="Fira Sans Medium"/>
          <w:sz w:val="20"/>
          <w:szCs w:val="20"/>
        </w:rPr>
        <w:t xml:space="preserve">BGW – Mit den Sicheren Seiten auf der sicheren Seite. Gefahrstoffe:  </w:t>
      </w:r>
      <w:hyperlink r:id="rId11" w:history="1">
        <w:r w:rsidRPr="005D5A37">
          <w:rPr>
            <w:rStyle w:val="Hyperlink"/>
            <w:rFonts w:ascii="Fira Sans Medium" w:hAnsi="Fira Sans Medium"/>
            <w:sz w:val="20"/>
            <w:szCs w:val="20"/>
          </w:rPr>
          <w:t>https://www.bgw-online.de/SharedDocs/Downloads/DE/Arbeitssicherheit_und_Gesundheitsschutz/Gesund-und-sicher-Arbeiten/Sichere-Seiten/Tiermedizin/Gefahrstoffe-Artikel_Download.pdf?__blob=publicationFile</w:t>
        </w:r>
      </w:hyperlink>
      <w:r w:rsidRPr="005D5A37">
        <w:rPr>
          <w:rFonts w:ascii="Fira Sans Medium" w:hAnsi="Fira Sans Medium"/>
          <w:sz w:val="20"/>
          <w:szCs w:val="20"/>
        </w:rPr>
        <w:t xml:space="preserve"> (28.06.2019).</w:t>
      </w:r>
    </w:p>
    <w:p w14:paraId="65ED6A45" w14:textId="59446692" w:rsidR="005D5A37" w:rsidRPr="005D5A37" w:rsidRDefault="005D5A37" w:rsidP="005D5A37">
      <w:pPr>
        <w:spacing w:after="60"/>
        <w:rPr>
          <w:rFonts w:ascii="Fira Sans Medium" w:hAnsi="Fira Sans Medium" w:hint="eastAsia"/>
          <w:sz w:val="20"/>
          <w:szCs w:val="20"/>
          <w:lang w:val="en-US"/>
        </w:rPr>
      </w:pPr>
      <w:r w:rsidRPr="005D5A37">
        <w:rPr>
          <w:rFonts w:ascii="Fira Sans Medium" w:hAnsi="Fira Sans Medium"/>
          <w:sz w:val="20"/>
          <w:szCs w:val="20"/>
        </w:rPr>
        <w:t>*</w:t>
      </w:r>
      <w:r>
        <w:rPr>
          <w:rFonts w:ascii="Fira Sans Medium" w:hAnsi="Fira Sans Medium"/>
          <w:sz w:val="20"/>
          <w:szCs w:val="20"/>
        </w:rPr>
        <w:t xml:space="preserve">Quelle: </w:t>
      </w:r>
      <w:r w:rsidRPr="005D5A37">
        <w:rPr>
          <w:rFonts w:ascii="Fira Sans Medium" w:hAnsi="Fira Sans Medium"/>
          <w:sz w:val="20"/>
          <w:szCs w:val="20"/>
        </w:rPr>
        <w:t xml:space="preserve">Merkblatt </w:t>
      </w:r>
      <w:r w:rsidR="00016C33">
        <w:rPr>
          <w:rFonts w:ascii="Fira Sans Medium" w:hAnsi="Fira Sans Medium"/>
          <w:sz w:val="20"/>
          <w:szCs w:val="20"/>
        </w:rPr>
        <w:t xml:space="preserve">(mit Luftgrenzwerten) </w:t>
      </w:r>
      <w:r w:rsidRPr="005D5A37">
        <w:rPr>
          <w:rFonts w:ascii="Fira Sans Medium" w:hAnsi="Fira Sans Medium"/>
          <w:sz w:val="20"/>
          <w:szCs w:val="20"/>
        </w:rPr>
        <w:t xml:space="preserve">“Werdende Mütter im </w:t>
      </w:r>
      <w:r w:rsidR="00EF6C05" w:rsidRPr="005D5A37">
        <w:rPr>
          <w:rFonts w:ascii="Fira Sans Medium" w:hAnsi="Fira Sans Medium"/>
          <w:sz w:val="20"/>
          <w:szCs w:val="20"/>
        </w:rPr>
        <w:t>ambulanten</w:t>
      </w:r>
      <w:r w:rsidRPr="005D5A37">
        <w:rPr>
          <w:rFonts w:ascii="Fira Sans Medium" w:hAnsi="Fira Sans Medium"/>
          <w:sz w:val="20"/>
          <w:szCs w:val="20"/>
        </w:rPr>
        <w:t xml:space="preserve"> Gesundheitswesen”, abrufbar unter. </w:t>
      </w:r>
      <w:hyperlink r:id="rId12" w:history="1">
        <w:r w:rsidRPr="005D5A37">
          <w:rPr>
            <w:rStyle w:val="Hyperlink"/>
            <w:rFonts w:ascii="Fira Sans Medium" w:hAnsi="Fira Sans Medium"/>
            <w:sz w:val="20"/>
            <w:szCs w:val="20"/>
            <w:lang w:val="en-US"/>
          </w:rPr>
          <w:t>https://rp.baden-wuerttemberg.de/Themen/Wirtschaft/Documents/MutterGesundheitswesen.pdf</w:t>
        </w:r>
      </w:hyperlink>
      <w:r w:rsidRPr="005D5A37">
        <w:rPr>
          <w:rFonts w:ascii="Fira Sans Medium" w:hAnsi="Fira Sans Medium"/>
          <w:sz w:val="20"/>
          <w:szCs w:val="20"/>
          <w:lang w:val="en-US"/>
        </w:rPr>
        <w:t xml:space="preserve"> (Stand 12.12.2017).</w:t>
      </w:r>
    </w:p>
    <w:p w14:paraId="2C4E6E79" w14:textId="77777777" w:rsidR="007C631A" w:rsidRPr="005D5A37" w:rsidRDefault="007C631A" w:rsidP="00F4509A">
      <w:pPr>
        <w:rPr>
          <w:rFonts w:ascii="Fira Sans Medium" w:hAnsi="Fira Sans Medium" w:hint="eastAsia"/>
          <w:sz w:val="20"/>
          <w:szCs w:val="20"/>
          <w:lang w:val="en-US"/>
        </w:rPr>
      </w:pPr>
    </w:p>
    <w:p w14:paraId="57F0EBBA" w14:textId="171E7F9A" w:rsidR="004E2F8F" w:rsidRPr="007C631A" w:rsidRDefault="004E2F8F" w:rsidP="004E2F8F">
      <w:pPr>
        <w:jc w:val="right"/>
        <w:rPr>
          <w:rFonts w:ascii="Fira Sans Medium" w:hAnsi="Fira Sans Medium" w:hint="eastAsia"/>
          <w:sz w:val="26"/>
          <w:szCs w:val="26"/>
        </w:rPr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FF2FFC">
        <w:rPr>
          <w:sz w:val="20"/>
          <w:szCs w:val="20"/>
        </w:rPr>
        <w:t>/2020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136E" w14:paraId="1AC7F42A" w14:textId="77777777" w:rsidTr="0027381C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0901B42" w14:textId="77777777" w:rsidR="0065136E" w:rsidRPr="00B06F6D" w:rsidRDefault="0065136E" w:rsidP="0027381C">
            <w:pPr>
              <w:rPr>
                <w:b/>
              </w:rPr>
            </w:pPr>
            <w:r>
              <w:rPr>
                <w:b/>
              </w:rPr>
              <w:lastRenderedPageBreak/>
              <w:t>Teilnehmende</w:t>
            </w:r>
            <w:r w:rsidRPr="00B06F6D">
              <w:rPr>
                <w:b/>
              </w:rPr>
              <w:t>:</w:t>
            </w:r>
          </w:p>
          <w:p w14:paraId="437280E7" w14:textId="77777777" w:rsidR="0065136E" w:rsidRDefault="0065136E" w:rsidP="0027381C"/>
        </w:tc>
      </w:tr>
      <w:tr w:rsidR="0065136E" w14:paraId="3D5C405F" w14:textId="77777777" w:rsidTr="0027381C">
        <w:tc>
          <w:tcPr>
            <w:tcW w:w="4606" w:type="dxa"/>
          </w:tcPr>
          <w:p w14:paraId="03EEA55C" w14:textId="77777777" w:rsidR="0065136E" w:rsidRPr="00036CE3" w:rsidRDefault="0065136E" w:rsidP="0027381C">
            <w:pPr>
              <w:rPr>
                <w:b/>
              </w:rPr>
            </w:pPr>
            <w:r w:rsidRPr="00036CE3">
              <w:rPr>
                <w:b/>
              </w:rPr>
              <w:t xml:space="preserve">Name, Vorname </w:t>
            </w:r>
          </w:p>
        </w:tc>
        <w:tc>
          <w:tcPr>
            <w:tcW w:w="4606" w:type="dxa"/>
          </w:tcPr>
          <w:p w14:paraId="754A7370" w14:textId="77777777" w:rsidR="0065136E" w:rsidRDefault="0065136E" w:rsidP="0027381C">
            <w:pPr>
              <w:rPr>
                <w:b/>
              </w:rPr>
            </w:pPr>
            <w:r w:rsidRPr="00B06F6D">
              <w:rPr>
                <w:b/>
              </w:rPr>
              <w:t>Unterschrift</w:t>
            </w:r>
          </w:p>
          <w:p w14:paraId="443B98A8" w14:textId="77777777" w:rsidR="0065136E" w:rsidRPr="00B06F6D" w:rsidRDefault="0065136E" w:rsidP="0027381C">
            <w:pPr>
              <w:rPr>
                <w:b/>
              </w:rPr>
            </w:pPr>
          </w:p>
        </w:tc>
      </w:tr>
      <w:tr w:rsidR="0065136E" w14:paraId="0DE02F24" w14:textId="77777777" w:rsidTr="0027381C">
        <w:tc>
          <w:tcPr>
            <w:tcW w:w="4606" w:type="dxa"/>
          </w:tcPr>
          <w:p w14:paraId="171E401A" w14:textId="77777777" w:rsidR="0065136E" w:rsidRPr="00036CE3" w:rsidRDefault="0065136E" w:rsidP="0027381C">
            <w:pPr>
              <w:rPr>
                <w:b/>
              </w:rPr>
            </w:pPr>
          </w:p>
          <w:p w14:paraId="7E8DD2C6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21DBF203" w14:textId="77777777" w:rsidR="0065136E" w:rsidRDefault="0065136E" w:rsidP="0027381C"/>
        </w:tc>
      </w:tr>
      <w:tr w:rsidR="0065136E" w14:paraId="1DE64A80" w14:textId="77777777" w:rsidTr="0027381C">
        <w:tc>
          <w:tcPr>
            <w:tcW w:w="4606" w:type="dxa"/>
          </w:tcPr>
          <w:p w14:paraId="6C7D2795" w14:textId="77777777" w:rsidR="0065136E" w:rsidRPr="00036CE3" w:rsidRDefault="0065136E" w:rsidP="0027381C">
            <w:pPr>
              <w:rPr>
                <w:b/>
              </w:rPr>
            </w:pPr>
          </w:p>
          <w:p w14:paraId="18645F1D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5DA1A93C" w14:textId="77777777" w:rsidR="0065136E" w:rsidRDefault="0065136E" w:rsidP="0027381C"/>
        </w:tc>
      </w:tr>
      <w:tr w:rsidR="0065136E" w14:paraId="23CD080A" w14:textId="77777777" w:rsidTr="0027381C">
        <w:tc>
          <w:tcPr>
            <w:tcW w:w="4606" w:type="dxa"/>
          </w:tcPr>
          <w:p w14:paraId="26C4D2F7" w14:textId="77777777" w:rsidR="0065136E" w:rsidRPr="00036CE3" w:rsidRDefault="0065136E" w:rsidP="0027381C">
            <w:pPr>
              <w:rPr>
                <w:b/>
              </w:rPr>
            </w:pPr>
          </w:p>
          <w:p w14:paraId="67DE05A0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4B8AB84C" w14:textId="77777777" w:rsidR="0065136E" w:rsidRDefault="0065136E" w:rsidP="0027381C"/>
        </w:tc>
      </w:tr>
      <w:tr w:rsidR="0065136E" w14:paraId="6BCD7F9B" w14:textId="77777777" w:rsidTr="0027381C">
        <w:tc>
          <w:tcPr>
            <w:tcW w:w="4606" w:type="dxa"/>
          </w:tcPr>
          <w:p w14:paraId="0BBA259A" w14:textId="77777777" w:rsidR="0065136E" w:rsidRPr="00036CE3" w:rsidRDefault="0065136E" w:rsidP="0027381C">
            <w:pPr>
              <w:rPr>
                <w:b/>
              </w:rPr>
            </w:pPr>
          </w:p>
          <w:p w14:paraId="7F4140BC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055D6A8E" w14:textId="77777777" w:rsidR="0065136E" w:rsidRDefault="0065136E" w:rsidP="0027381C"/>
        </w:tc>
      </w:tr>
      <w:tr w:rsidR="0065136E" w14:paraId="5BC57374" w14:textId="77777777" w:rsidTr="0027381C">
        <w:tc>
          <w:tcPr>
            <w:tcW w:w="4606" w:type="dxa"/>
          </w:tcPr>
          <w:p w14:paraId="45A55C16" w14:textId="77777777" w:rsidR="0065136E" w:rsidRPr="00036CE3" w:rsidRDefault="0065136E" w:rsidP="0027381C">
            <w:pPr>
              <w:rPr>
                <w:b/>
              </w:rPr>
            </w:pPr>
          </w:p>
          <w:p w14:paraId="73CA9EB7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3F37D3CF" w14:textId="77777777" w:rsidR="0065136E" w:rsidRDefault="0065136E" w:rsidP="0027381C"/>
        </w:tc>
      </w:tr>
      <w:tr w:rsidR="0065136E" w14:paraId="4FF41F5A" w14:textId="77777777" w:rsidTr="0027381C">
        <w:tc>
          <w:tcPr>
            <w:tcW w:w="4606" w:type="dxa"/>
          </w:tcPr>
          <w:p w14:paraId="40EB1F61" w14:textId="77777777" w:rsidR="0065136E" w:rsidRPr="00036CE3" w:rsidRDefault="0065136E" w:rsidP="0027381C">
            <w:pPr>
              <w:rPr>
                <w:b/>
              </w:rPr>
            </w:pPr>
          </w:p>
          <w:p w14:paraId="171F97D8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3210F783" w14:textId="77777777" w:rsidR="0065136E" w:rsidRDefault="0065136E" w:rsidP="0027381C"/>
        </w:tc>
      </w:tr>
      <w:tr w:rsidR="0065136E" w14:paraId="03D7E2DB" w14:textId="77777777" w:rsidTr="0027381C">
        <w:tc>
          <w:tcPr>
            <w:tcW w:w="4606" w:type="dxa"/>
          </w:tcPr>
          <w:p w14:paraId="63639377" w14:textId="77777777" w:rsidR="0065136E" w:rsidRDefault="0065136E" w:rsidP="0027381C">
            <w:pPr>
              <w:rPr>
                <w:b/>
              </w:rPr>
            </w:pPr>
          </w:p>
          <w:p w14:paraId="7E1D18EA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3D51BD4C" w14:textId="77777777" w:rsidR="0065136E" w:rsidRDefault="0065136E" w:rsidP="0027381C"/>
        </w:tc>
      </w:tr>
      <w:tr w:rsidR="0065136E" w14:paraId="330755E0" w14:textId="77777777" w:rsidTr="0027381C">
        <w:tc>
          <w:tcPr>
            <w:tcW w:w="4606" w:type="dxa"/>
          </w:tcPr>
          <w:p w14:paraId="0C26A1A9" w14:textId="77777777" w:rsidR="0065136E" w:rsidRDefault="0065136E" w:rsidP="0027381C">
            <w:pPr>
              <w:rPr>
                <w:b/>
              </w:rPr>
            </w:pPr>
          </w:p>
          <w:p w14:paraId="4114896A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4BE88A1D" w14:textId="77777777" w:rsidR="0065136E" w:rsidRDefault="0065136E" w:rsidP="0027381C"/>
        </w:tc>
      </w:tr>
      <w:tr w:rsidR="0065136E" w14:paraId="7CD3A473" w14:textId="77777777" w:rsidTr="0027381C">
        <w:tc>
          <w:tcPr>
            <w:tcW w:w="4606" w:type="dxa"/>
          </w:tcPr>
          <w:p w14:paraId="3B7635F6" w14:textId="77777777" w:rsidR="0065136E" w:rsidRDefault="0065136E" w:rsidP="0027381C">
            <w:pPr>
              <w:rPr>
                <w:b/>
              </w:rPr>
            </w:pPr>
          </w:p>
          <w:p w14:paraId="4100F210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5C532587" w14:textId="77777777" w:rsidR="0065136E" w:rsidRDefault="0065136E" w:rsidP="0027381C"/>
        </w:tc>
      </w:tr>
      <w:tr w:rsidR="0065136E" w14:paraId="6E069C89" w14:textId="77777777" w:rsidTr="0027381C">
        <w:tc>
          <w:tcPr>
            <w:tcW w:w="4606" w:type="dxa"/>
          </w:tcPr>
          <w:p w14:paraId="5E58CC02" w14:textId="77777777" w:rsidR="0065136E" w:rsidRDefault="0065136E" w:rsidP="0027381C">
            <w:pPr>
              <w:rPr>
                <w:b/>
              </w:rPr>
            </w:pPr>
          </w:p>
          <w:p w14:paraId="0F9748DD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39D2FB7C" w14:textId="77777777" w:rsidR="0065136E" w:rsidRDefault="0065136E" w:rsidP="0027381C"/>
        </w:tc>
      </w:tr>
      <w:tr w:rsidR="0065136E" w14:paraId="1BD26562" w14:textId="77777777" w:rsidTr="0027381C">
        <w:tc>
          <w:tcPr>
            <w:tcW w:w="4606" w:type="dxa"/>
          </w:tcPr>
          <w:p w14:paraId="0EB02178" w14:textId="77777777" w:rsidR="0065136E" w:rsidRDefault="0065136E" w:rsidP="0027381C">
            <w:pPr>
              <w:rPr>
                <w:b/>
              </w:rPr>
            </w:pPr>
          </w:p>
          <w:p w14:paraId="1600A913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32630563" w14:textId="77777777" w:rsidR="0065136E" w:rsidRDefault="0065136E" w:rsidP="0027381C"/>
        </w:tc>
      </w:tr>
      <w:tr w:rsidR="0065136E" w14:paraId="5FD14FB2" w14:textId="77777777" w:rsidTr="0027381C">
        <w:tc>
          <w:tcPr>
            <w:tcW w:w="4606" w:type="dxa"/>
          </w:tcPr>
          <w:p w14:paraId="71881FD7" w14:textId="77777777" w:rsidR="0065136E" w:rsidRDefault="0065136E" w:rsidP="0027381C">
            <w:pPr>
              <w:rPr>
                <w:b/>
              </w:rPr>
            </w:pPr>
          </w:p>
          <w:p w14:paraId="0E3A60A3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709A057C" w14:textId="77777777" w:rsidR="0065136E" w:rsidRDefault="0065136E" w:rsidP="0027381C"/>
        </w:tc>
      </w:tr>
      <w:tr w:rsidR="0065136E" w14:paraId="3DEDAF07" w14:textId="77777777" w:rsidTr="0027381C">
        <w:tc>
          <w:tcPr>
            <w:tcW w:w="4606" w:type="dxa"/>
          </w:tcPr>
          <w:p w14:paraId="7BEB3DFF" w14:textId="77777777" w:rsidR="0065136E" w:rsidRDefault="0065136E" w:rsidP="0027381C">
            <w:pPr>
              <w:rPr>
                <w:b/>
              </w:rPr>
            </w:pPr>
          </w:p>
          <w:p w14:paraId="0AB653C7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0FB8C1C0" w14:textId="77777777" w:rsidR="0065136E" w:rsidRDefault="0065136E" w:rsidP="0027381C"/>
        </w:tc>
      </w:tr>
      <w:tr w:rsidR="0065136E" w14:paraId="2CF3C130" w14:textId="77777777" w:rsidTr="0027381C">
        <w:tc>
          <w:tcPr>
            <w:tcW w:w="4606" w:type="dxa"/>
          </w:tcPr>
          <w:p w14:paraId="626075EF" w14:textId="77777777" w:rsidR="0065136E" w:rsidRDefault="0065136E" w:rsidP="0027381C">
            <w:pPr>
              <w:rPr>
                <w:b/>
              </w:rPr>
            </w:pPr>
          </w:p>
          <w:p w14:paraId="29993C39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76A82DD8" w14:textId="77777777" w:rsidR="0065136E" w:rsidRDefault="0065136E" w:rsidP="0027381C"/>
        </w:tc>
      </w:tr>
      <w:tr w:rsidR="0065136E" w14:paraId="1E16EE64" w14:textId="77777777" w:rsidTr="0027381C">
        <w:tc>
          <w:tcPr>
            <w:tcW w:w="4606" w:type="dxa"/>
          </w:tcPr>
          <w:p w14:paraId="1E4722E2" w14:textId="77777777" w:rsidR="0065136E" w:rsidRDefault="0065136E" w:rsidP="0027381C">
            <w:pPr>
              <w:rPr>
                <w:b/>
              </w:rPr>
            </w:pPr>
          </w:p>
          <w:p w14:paraId="2A1206C7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109ACF7F" w14:textId="77777777" w:rsidR="0065136E" w:rsidRDefault="0065136E" w:rsidP="0027381C"/>
        </w:tc>
      </w:tr>
      <w:tr w:rsidR="0065136E" w14:paraId="31518182" w14:textId="77777777" w:rsidTr="0027381C">
        <w:tc>
          <w:tcPr>
            <w:tcW w:w="4606" w:type="dxa"/>
          </w:tcPr>
          <w:p w14:paraId="70C42F18" w14:textId="77777777" w:rsidR="0065136E" w:rsidRDefault="0065136E" w:rsidP="0027381C">
            <w:pPr>
              <w:rPr>
                <w:b/>
              </w:rPr>
            </w:pPr>
          </w:p>
          <w:p w14:paraId="314F9179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548C9C35" w14:textId="77777777" w:rsidR="0065136E" w:rsidRDefault="0065136E" w:rsidP="0027381C"/>
        </w:tc>
      </w:tr>
      <w:tr w:rsidR="0065136E" w14:paraId="73162194" w14:textId="77777777" w:rsidTr="0027381C">
        <w:tc>
          <w:tcPr>
            <w:tcW w:w="4606" w:type="dxa"/>
          </w:tcPr>
          <w:p w14:paraId="1EE2336B" w14:textId="77777777" w:rsidR="0065136E" w:rsidRDefault="0065136E" w:rsidP="0027381C">
            <w:pPr>
              <w:rPr>
                <w:b/>
              </w:rPr>
            </w:pPr>
          </w:p>
          <w:p w14:paraId="66DB4585" w14:textId="77777777" w:rsidR="0065136E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0506DB42" w14:textId="77777777" w:rsidR="0065136E" w:rsidRDefault="0065136E" w:rsidP="0027381C"/>
        </w:tc>
      </w:tr>
      <w:tr w:rsidR="0065136E" w14:paraId="26D21A4F" w14:textId="77777777" w:rsidTr="0027381C">
        <w:tc>
          <w:tcPr>
            <w:tcW w:w="4606" w:type="dxa"/>
          </w:tcPr>
          <w:p w14:paraId="33132A38" w14:textId="77777777" w:rsidR="0065136E" w:rsidRDefault="0065136E" w:rsidP="0027381C">
            <w:pPr>
              <w:rPr>
                <w:b/>
              </w:rPr>
            </w:pPr>
          </w:p>
          <w:p w14:paraId="01477F23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2EE51E8F" w14:textId="77777777" w:rsidR="0065136E" w:rsidRDefault="0065136E" w:rsidP="0027381C"/>
        </w:tc>
      </w:tr>
      <w:tr w:rsidR="0065136E" w14:paraId="6F80C1BB" w14:textId="77777777" w:rsidTr="0027381C">
        <w:tc>
          <w:tcPr>
            <w:tcW w:w="4606" w:type="dxa"/>
          </w:tcPr>
          <w:p w14:paraId="65481D2E" w14:textId="77777777" w:rsidR="0065136E" w:rsidRPr="00036CE3" w:rsidRDefault="0065136E" w:rsidP="0027381C">
            <w:pPr>
              <w:rPr>
                <w:b/>
              </w:rPr>
            </w:pPr>
          </w:p>
          <w:p w14:paraId="1A94530E" w14:textId="77777777" w:rsidR="0065136E" w:rsidRPr="00036CE3" w:rsidRDefault="0065136E" w:rsidP="0027381C">
            <w:pPr>
              <w:rPr>
                <w:b/>
              </w:rPr>
            </w:pPr>
          </w:p>
        </w:tc>
        <w:tc>
          <w:tcPr>
            <w:tcW w:w="4606" w:type="dxa"/>
          </w:tcPr>
          <w:p w14:paraId="4742FA15" w14:textId="77777777" w:rsidR="0065136E" w:rsidRDefault="0065136E" w:rsidP="0027381C"/>
        </w:tc>
      </w:tr>
      <w:tr w:rsidR="0065136E" w14:paraId="251F1EBF" w14:textId="77777777" w:rsidTr="0027381C">
        <w:tc>
          <w:tcPr>
            <w:tcW w:w="9212" w:type="dxa"/>
            <w:gridSpan w:val="2"/>
          </w:tcPr>
          <w:p w14:paraId="3995156D" w14:textId="77777777" w:rsidR="0065136E" w:rsidRPr="00B40025" w:rsidRDefault="0065136E" w:rsidP="0027381C">
            <w:pPr>
              <w:rPr>
                <w:b/>
              </w:rPr>
            </w:pPr>
            <w:r>
              <w:rPr>
                <w:b/>
              </w:rPr>
              <w:t>Unterschrift</w:t>
            </w:r>
            <w:r w:rsidRPr="00B40025">
              <w:rPr>
                <w:b/>
              </w:rPr>
              <w:t xml:space="preserve"> des/der Unterweisenden:</w:t>
            </w:r>
          </w:p>
          <w:p w14:paraId="2763BF0E" w14:textId="77777777" w:rsidR="0065136E" w:rsidRDefault="0065136E" w:rsidP="0027381C">
            <w:pPr>
              <w:rPr>
                <w:b/>
              </w:rPr>
            </w:pPr>
          </w:p>
          <w:p w14:paraId="38A5485D" w14:textId="77777777" w:rsidR="0065136E" w:rsidRDefault="0065136E" w:rsidP="0027381C">
            <w:pPr>
              <w:rPr>
                <w:b/>
              </w:rPr>
            </w:pPr>
          </w:p>
          <w:p w14:paraId="37D5EE2E" w14:textId="77777777" w:rsidR="0065136E" w:rsidRPr="00036CE3" w:rsidRDefault="0065136E" w:rsidP="0027381C">
            <w:pPr>
              <w:rPr>
                <w:b/>
              </w:rPr>
            </w:pPr>
          </w:p>
        </w:tc>
      </w:tr>
    </w:tbl>
    <w:p w14:paraId="35EB5C87" w14:textId="77777777" w:rsidR="00627F5E" w:rsidRDefault="00627F5E" w:rsidP="00F4509A">
      <w:pPr>
        <w:rPr>
          <w:rFonts w:ascii="Fira Sans Medium" w:hAnsi="Fira Sans Medium" w:hint="eastAsia"/>
          <w:sz w:val="20"/>
          <w:szCs w:val="20"/>
        </w:rPr>
      </w:pPr>
    </w:p>
    <w:p w14:paraId="21498A66" w14:textId="77777777" w:rsidR="00627F5E" w:rsidRDefault="00627F5E" w:rsidP="00F4509A">
      <w:pPr>
        <w:rPr>
          <w:rFonts w:ascii="Fira Sans Medium" w:hAnsi="Fira Sans Medium" w:hint="eastAsia"/>
          <w:sz w:val="20"/>
          <w:szCs w:val="20"/>
        </w:rPr>
      </w:pPr>
    </w:p>
    <w:p w14:paraId="1D4F3F5A" w14:textId="77777777" w:rsidR="00627F5E" w:rsidRDefault="00627F5E" w:rsidP="00F4509A">
      <w:pPr>
        <w:rPr>
          <w:rFonts w:ascii="Fira Sans Medium" w:hAnsi="Fira Sans Medium" w:hint="eastAsia"/>
          <w:sz w:val="20"/>
          <w:szCs w:val="20"/>
        </w:rPr>
      </w:pPr>
    </w:p>
    <w:p w14:paraId="043E2070" w14:textId="3BAB3910" w:rsidR="007C631A" w:rsidRPr="007C631A" w:rsidRDefault="0065136E" w:rsidP="0065136E">
      <w:pPr>
        <w:jc w:val="right"/>
        <w:rPr>
          <w:rFonts w:ascii="Fira Sans Medium" w:hAnsi="Fira Sans Medium" w:hint="eastAsia"/>
          <w:sz w:val="26"/>
          <w:szCs w:val="26"/>
        </w:rPr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BD5B24">
        <w:rPr>
          <w:sz w:val="20"/>
          <w:szCs w:val="20"/>
        </w:rPr>
        <w:t>/2020</w:t>
      </w:r>
    </w:p>
    <w:sectPr w:rsidR="007C631A" w:rsidRPr="007C631A" w:rsidSect="00917B80">
      <w:headerReference w:type="default" r:id="rId13"/>
      <w:footerReference w:type="default" r:id="rId14"/>
      <w:pgSz w:w="11900" w:h="16840"/>
      <w:pgMar w:top="1440" w:right="985" w:bottom="1440" w:left="1440" w:header="708" w:footer="9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3C4D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8D550" w14:textId="77777777" w:rsidR="00185F10" w:rsidRDefault="00185F10">
      <w:r>
        <w:separator/>
      </w:r>
    </w:p>
  </w:endnote>
  <w:endnote w:type="continuationSeparator" w:id="0">
    <w:p w14:paraId="76EC75F8" w14:textId="77777777"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934368"/>
      <w:docPartObj>
        <w:docPartGallery w:val="Page Numbers (Bottom of Page)"/>
        <w:docPartUnique/>
      </w:docPartObj>
    </w:sdtPr>
    <w:sdtEndPr/>
    <w:sdtContent>
      <w:p w14:paraId="14FAC3FD" w14:textId="77777777" w:rsidR="004C768B" w:rsidRDefault="004C76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14">
          <w:rPr>
            <w:noProof/>
          </w:rPr>
          <w:t>1</w:t>
        </w:r>
        <w:r>
          <w:fldChar w:fldCharType="end"/>
        </w:r>
      </w:p>
    </w:sdtContent>
  </w:sdt>
  <w:p w14:paraId="733D7069" w14:textId="77777777" w:rsidR="004C768B" w:rsidRDefault="004C76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91EF" w14:textId="77777777" w:rsidR="00185F10" w:rsidRDefault="00185F10">
      <w:r>
        <w:separator/>
      </w:r>
    </w:p>
  </w:footnote>
  <w:footnote w:type="continuationSeparator" w:id="0">
    <w:p w14:paraId="24AB82E2" w14:textId="77777777"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3958" w14:textId="77777777" w:rsidR="00917B80" w:rsidRDefault="004E2F8F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59264" behindDoc="0" locked="0" layoutInCell="1" allowOverlap="1" wp14:anchorId="7C1D1EA8" wp14:editId="042DFBDC">
          <wp:simplePos x="0" y="0"/>
          <wp:positionH relativeFrom="column">
            <wp:posOffset>5095875</wp:posOffset>
          </wp:positionH>
          <wp:positionV relativeFrom="paragraph">
            <wp:posOffset>-184785</wp:posOffset>
          </wp:positionV>
          <wp:extent cx="1314450" cy="448944"/>
          <wp:effectExtent l="0" t="0" r="0" b="8890"/>
          <wp:wrapNone/>
          <wp:docPr id="3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14450" cy="44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na Stranzinger Dr.">
    <w15:presenceInfo w15:providerId="None" w15:userId="Johanna Stranzinger D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057F8"/>
    <w:rsid w:val="00016C33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5DCF"/>
    <w:rsid w:val="00126DE3"/>
    <w:rsid w:val="00185F10"/>
    <w:rsid w:val="0019518C"/>
    <w:rsid w:val="001B1CA7"/>
    <w:rsid w:val="0024768B"/>
    <w:rsid w:val="00254EF0"/>
    <w:rsid w:val="00284AC0"/>
    <w:rsid w:val="0028521E"/>
    <w:rsid w:val="002B369F"/>
    <w:rsid w:val="003069FD"/>
    <w:rsid w:val="003255B7"/>
    <w:rsid w:val="003F2689"/>
    <w:rsid w:val="00432309"/>
    <w:rsid w:val="00451D4A"/>
    <w:rsid w:val="00457228"/>
    <w:rsid w:val="004B394A"/>
    <w:rsid w:val="004B4AEC"/>
    <w:rsid w:val="004C768B"/>
    <w:rsid w:val="004E2F8F"/>
    <w:rsid w:val="00551952"/>
    <w:rsid w:val="00552506"/>
    <w:rsid w:val="005D5A37"/>
    <w:rsid w:val="0060147D"/>
    <w:rsid w:val="0062137A"/>
    <w:rsid w:val="00627F5E"/>
    <w:rsid w:val="0065136E"/>
    <w:rsid w:val="00652396"/>
    <w:rsid w:val="00654046"/>
    <w:rsid w:val="00697F4F"/>
    <w:rsid w:val="006D0699"/>
    <w:rsid w:val="007472F5"/>
    <w:rsid w:val="007546C6"/>
    <w:rsid w:val="00777DE8"/>
    <w:rsid w:val="007C631A"/>
    <w:rsid w:val="00855B9F"/>
    <w:rsid w:val="00860E0A"/>
    <w:rsid w:val="008E5223"/>
    <w:rsid w:val="008E5853"/>
    <w:rsid w:val="00917B80"/>
    <w:rsid w:val="00920003"/>
    <w:rsid w:val="0092779A"/>
    <w:rsid w:val="00946F31"/>
    <w:rsid w:val="00966E82"/>
    <w:rsid w:val="009D4BEF"/>
    <w:rsid w:val="00A47709"/>
    <w:rsid w:val="00A64612"/>
    <w:rsid w:val="00B35183"/>
    <w:rsid w:val="00BA1349"/>
    <w:rsid w:val="00BA324D"/>
    <w:rsid w:val="00BC40E1"/>
    <w:rsid w:val="00BC6114"/>
    <w:rsid w:val="00BD5B24"/>
    <w:rsid w:val="00BE24B7"/>
    <w:rsid w:val="00BF5AC6"/>
    <w:rsid w:val="00C36171"/>
    <w:rsid w:val="00C42844"/>
    <w:rsid w:val="00C70D9D"/>
    <w:rsid w:val="00C777FB"/>
    <w:rsid w:val="00D40823"/>
    <w:rsid w:val="00D4271B"/>
    <w:rsid w:val="00D577EE"/>
    <w:rsid w:val="00D9185B"/>
    <w:rsid w:val="00D924AA"/>
    <w:rsid w:val="00DC0120"/>
    <w:rsid w:val="00E07414"/>
    <w:rsid w:val="00E13567"/>
    <w:rsid w:val="00E61292"/>
    <w:rsid w:val="00E9008B"/>
    <w:rsid w:val="00ED7E34"/>
    <w:rsid w:val="00EF6C05"/>
    <w:rsid w:val="00F279EC"/>
    <w:rsid w:val="00F3109E"/>
    <w:rsid w:val="00F4509A"/>
    <w:rsid w:val="00F67A37"/>
    <w:rsid w:val="00FF20FA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5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7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7F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5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57F8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5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7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7F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5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57F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p.baden-wuerttemberg.de/Themen/Wirtschaft/Documents/MutterGesundheitswes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gw-online.de/SharedDocs/Downloads/DE/Arbeitssicherheit_und_Gesundheitsschutz/Gesund-und-sicher-Arbeiten/Sichere-Seiten/Tiermedizin/Gefahrstoffe-Artikel_Download.pdf?__blob=publicationFi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gw-online.de/SharedDocs/Downloads/DE/Medientypen/BGW%20Grundlagen/BGW03-03-010_Humanmedizin-bf_Download.pdf?__blob=publicationFile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baua.de/DE/Angebote/Rechtstexte-und-Technische-Regeln/Regelwerk/TRGS/pdf/TRGS-500.pdf?__blob=publicationFil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C4A3-6607-4E1E-9AF9-844D79B7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8</cp:revision>
  <cp:lastPrinted>2019-06-28T09:01:00Z</cp:lastPrinted>
  <dcterms:created xsi:type="dcterms:W3CDTF">2019-10-23T14:27:00Z</dcterms:created>
  <dcterms:modified xsi:type="dcterms:W3CDTF">2019-11-18T16:45:00Z</dcterms:modified>
</cp:coreProperties>
</file>